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319</w:t>
      </w:r>
    </w:p>
    <w:p>
      <w:r>
        <w:t>Bundesgericht (BGE), 1994-07-04, DE</w:t>
      </w:r>
    </w:p>
    <w:p>
      <w:r>
        <w:rPr>
          <w:b/>
        </w:rPr>
        <w:t xml:space="preserve">Quelle: </w:t>
      </w:r>
      <w:r>
        <w:t>https://mcp.opencaselaw.ch/entscheid/bge_120 V 319</w:t>
      </w:r>
    </w:p>
    <w:p>
      <w:r>
        <w:t>FR: ATF 120 V 319</w:t>
      </w:r>
    </w:p>
    <w:p>
      <w:r>
        <w:t>IT: DTF 120 V 319</w:t>
      </w:r>
    </w:p>
    <w:p>
      <w:pPr>
        <w:pStyle w:val="Heading2"/>
      </w:pPr>
      <w:r>
        <w:t>Regeste</w:t>
      </w:r>
    </w:p>
    <w:p>
      <w:r>
        <w:t>Regeste Art. 50 Abs. 3 BVG. - Gesetz im Sinne dieser Bestimmung meint ausschliesslich das im Zusammenhang mit der beruflichen Vorsorge erlassene Recht (Erw. 7a). Frage offengelassen, ob Art. 50 Abs. 3 Satz 2 BVG auch dann angerufen werden kann, wenn sich die Rechtswidrigkeit einer Reglementsbestimmung ohne Rückgriff auf das BVG feststellen lässt (Erw. 7b). - Art. 50 Abs. 3 Satz 2 BVG bezweckt die Ausserkraftsetzung zwingenden Rechts zugunsten gesetzeswidriger Reglementsbestimmungen. Dies ruft nach einer restriktiven Handhabung (Erw. 8d). Im Falle von Dauerleistungen heisst dies, dass die Leistungspflicht mit dem Wegfall des guten Glaubens ex nunc et pro futuro auflebt (Erw. 9a), dies ohne Rücksicht darauf, dass sich ihre Voraussetzungen zu einer Zeit verwirklichten, als die gesetzliche Ordnung suspendiert war (Erw. 9b). Damit ist dem Einwand der fehlenden Finanzierung Rechnung getragen (Erw. 9c). - Begriff des guten Glaubens (Erw. 10a). Stellt das Eidg. Versicherungsgericht die Gesetzeswidrigkeit einer Verordnungs- oder Reglementsbestimmung fest, entfällt der - zu vermutende (Erw. 5c) - gute Glaube einer am Verfahren nicht beteiligten Vorsorgeeinrichtung im Regelfall erst mit der Veröffentlichung des Urteils. In casu genügen hiefür die Mitteilungen des BSV über die berufliche Vorsorge, die den wesentlichen Urteilsgehalt vor der Publikation in der amtlichen Sammlung verbreiteten (Erw. 10b).</w:t>
      </w:r>
    </w:p>
    <w:p>
      <w:pPr>
        <w:pStyle w:val="Heading2"/>
      </w:pPr>
      <w:r>
        <w:t>Erwägungen</w:t>
      </w:r>
    </w:p>
    <w:p>
      <w:r>
        <w:rPr>
          <w:b/>
        </w:rPr>
        <w:t>E. 1</w:t>
      </w:r>
    </w:p>
    <w:p>
      <w:r>
        <w:t>(Zuständigkeit)</w:t>
      </w:r>
    </w:p>
    <w:p>
      <w:r>
        <w:rPr>
          <w:b/>
        </w:rPr>
        <w:t>E. 2</w:t>
      </w:r>
    </w:p>
    <w:p>
      <w:r>
        <w:t>Das kantonale Gericht hat den erhobenen Anspruch im angefochtenen Entscheid lediglich in grundsätzlicher Hinsicht beurteilt und im übrigen erwogen, sich vor dessen Rechtskraft mit der ebenfalls strittigen Höhe der Invalidenrente nicht zu befassen. Nichtsdestoweniger liegt mit Bezug auf die beurteilte Grundsatzfrage ein Entscheid mit instanzabschliessender Wirkung vor. Es handelt sich folglich um einen Teilentscheid, der der Anfechtung - anders als die Zwischenverfügung ( Art. 101 lit. a und 129 Abs. 2 OG und Art. 45 Abs. 1 VwVG ) - im gleichen Verfahren wie ein Endentscheid ( Art. 97, 98 lit. g, 98a und 128 OG ; Art. 5 Abs. 1 VwVG ) unterliegt ( BGE 106 V 241 Erw. 1; vgl. ferner BGE 118 V 315 oben und BGE 107 Ib 343 Erw. 1; GYGI, Bundesverwaltungsrechtspflege, 2. Aufl., S. 140 f.; MOOR, Droit administratif, Bd. II, Kap. 5.4.2.3, S. 377). Nach dem Gesagten ist auf die Verwaltungsgerichtsbeschwerde einzutreten.</w:t>
      </w:r>
    </w:p>
    <w:p>
      <w:r>
        <w:rPr>
          <w:b/>
        </w:rPr>
        <w:t>E. 3</w:t>
      </w:r>
    </w:p>
    <w:p>
      <w:r>
        <w:t>Die Beschwerdeführerin stützt die Einschränkung ihrer Leistungspflicht auf Art. 52 ihrer Allgemeinen Bestimmungen für die Personalvorsorge nach BVG (im folgenden AVB) in der seit 23. November 1983 geltenden Fassung. Danach schliesst die Sammelstiftung die Gewährung von Hinterlassenen- oder Invalidenrenten aus, wenn für den gleichen Vorsorgefall die Unfallversicherung oder die Militärversicherung leistungspflichtig ist (Abs. 1). Erbringt die Unfallversicherung oder die Militärversicherung nicht die volle Hinterlassenen- oder Invalidenleistung, weil der Tod oder die Invalidität nicht ausschliesslich auf eine von diesen Versicherungen zu berücksichtigende Ursache zurückzuführen ist, so leistet die Sammelstiftung anteilsmässig (Abs. 2). a) Streitig ist, ob und inwieweit diese Bestimmungen nach dem höchstrichterlichen Urteil C. vom 31. August 1990 noch wirksam sein können. Denn mit diesem Urteil erklärte das Eidg. Versicherungsgericht den als BGE 120 V 319 S. 323 Grundlage von Art. 52 Abs. 1 AVB dienenden Art. 25 Abs. 1 BVV 2 in der Fassung vom 18. April 1984 (AS 1984 I 543ff.) als gesetzeswidrig, soweit darin den Vorsorgeeinrichtungen bei Leistungspflicht der Unfall- oder Militärversicherung im gleichen Versicherungsfall im BVG-Obligatoriumsbereich die Möglichkeit zum Ausschluss von Hinterlassenen- oder Invalidenleistungen eingeräumt wurde ( BGE 116 V 189 ; vgl. ferner BGE 117 V 344 Erw. 4a/aa). b) Die Vorinstanz hat erkannt, das erwähnte Urteil äussere sich zur Gesetzmässigkeit von Art. 25 Abs. 2 BVV 2 zwar nicht ausdrücklich, doch bestehe aufgrund der Erwägungen kein Zweifel, dass auch der anteilsmässige Leistungsausschluss bei bloss teilweiser Unfallkausalität im Sinne jener Bestimmung vor dem Gesetz nicht standhalte. - Dieser - von der Beschwerdeführerin nicht bestrittenen - Auffassung ist ohne weiteres beizupflichten (vgl. die geänderte Fassung von Art. 25 BVV 2 vom 28. Oktober 1992, in Kraft seit 1. Januar 1993 [AS 1992 II 2234 f.]). Zu prüfen gilt es somit, ob - und gegebenenfalls ab welchem Zeitpunkt - die Beschwerdegegnerin vorsorgerechtliche Invalidenleistungen beanspruchen kann, und zwar im Rahmen von Art. 24 Abs. 1 BVV 2 , wonach "die Vorsorgeeinrichtung die Hinterlassenen- und Invalidenleistungen kürzen kann, soweit sie zusammen mit anderen anrechenbaren Einkünften 90% des mutmasslich entgangenen Verdienstes übersteigen".</w:t>
      </w:r>
    </w:p>
    <w:p>
      <w:r>
        <w:rPr>
          <w:b/>
        </w:rPr>
        <w:t>E. 4</w:t>
      </w:r>
    </w:p>
    <w:p>
      <w:r>
        <w:t>a) Das kantonale Gericht hat die grundsätzliche Leistungspflicht der nunmehrigen Beschwerdeführerin mit der Begründung bejaht, dass eine durch Urteil des Eidg. Versicherungsgerichts verbindlich gewordene Rechtsauffassung auf die im Zeitpunkt der Urteilsfällung noch nicht rechtskräftig erledigten sowie auf alle künftigen Fälle anwendbar sei. In diesem Sinne hat es dem Umstand keine Bedeutung beigemessen, dass der vorliegend in Frage stehende Versicherungsfall vor dem erwähnten Urteil C. vom 31. August 1990 eingetreten war. Der Leistungsanspruch sei zwar womöglich schon vor der Urteilspublikation entstanden, mit Sicherheit aber erst später, nämlich am 25. Juli 1991 geltend gemacht worden. Zu Recht werde sodann nicht behauptet, dass der Anspruch bereits verjährt sei. Ebensowenig hat das kantonale Gericht die Berufung der Vorsorgeeinrichtung auf Art. 50 Abs. 3 BVG gelten lassen, da sich das darin angelegte Rückwirkungsverbot nicht auf Verordnungsrecht, sondern nur auf das eigentliche Gesetz beziehe. Selbst wenn die betreffende Bestimmung auch BGE 120 V 319 S. 324 gegenüber Verordnungen zum Tragen käme, vermöchte sie jedenfalls die Beurteilung der hängigen Versicherungsfälle nach der neuen Rechtspraxis nicht abzuwenden. b) In der Verwaltungsgerichtsbeschwerde wird der Vorinstanz im wesentlichen vorgeworfen, mit ihrer Anwendung des Urteils BGE 116 V 189 auf einen in der Vergangenheit liegenden Sachverhalt gegen Art. 50 Abs. 3 BVG verstossen zu haben. Denn im Falle der Beschwerdegegnerin hätte ein Anspruch auf berufsvorsorgerechtliche Invalidenleistungen ("Stammrecht") entstehen können, als sie invalid im Sinne des IVG geworden war (1. Mai 1989); doch damals sei die Gesetzmässigkeit des in Anlehnung an Art. 25 BVV 2 ergangenen Art. 52 AVB noch in keiner Weise in Frage gestellt gewesen, womit ihr kein Stammrecht auf Invalidenleistungen und erst recht kein von dessen Existenz abhängiges Recht auf einzelne Rentenleistungen erwachsen konnte.</w:t>
      </w:r>
    </w:p>
    <w:p>
      <w:r>
        <w:rPr>
          <w:b/>
        </w:rPr>
        <w:t>E. 5</w:t>
      </w:r>
    </w:p>
    <w:p>
      <w:r>
        <w:t>Gemäss Art. 50 Abs. 3 BVG gehen die Vorschriften dieses Gesetzes den von der Vorsorgeeinrichtung erlassenen Bestimmungen vor (Satz 1). Konnte die Vorsorgeeinrichtung jedoch guten Glaubens davon ausgehen, dass eine ihrer reglementarischen Bestimmungen im Einklang mit dem Gesetz stehe, so ist das Gesetz nicht rückwirkend anwendbar (Satz 2).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119 V 126 Erw. 4, BGE 118 Ib 191 Erw. 5a, 452 Erw. 3c, 555 Erw. 4d, BGE 118 II 342 Erw. 3e, je mit Hinweisen; RHINOW/KRÄHENMANN, Schweizerische Verwaltungsrechtsprechung, Ergänzungsband, Nr. 21 B IV, S. 66; KNAPP, Cours de droit administratif, Basel 1994, S. 36 N. 422). b) Der erste Satz von Art. 50 Abs. 3 BVG hält den Vorrang des Gesetzes gegenüber widersprechenden Reglements- oder Statutenbestimmungen fest und unterstreicht damit dessen zwingenden Charakter. Dieser Gehalt ist klar (Erw. 6a hernach; vgl. ferner BGE 117 V 51 , BGE 116 V 108 Mitte; BGE 115 V 210 Erw. 2a a. E.) und im folgenden nur von mittelbarer Bedeutung. - Anders verhält es sich freilich mit Art. 50 Abs. 3 Satz 2 BVG : Sein in den einzelnen Sprachfassungen keine nennenswerten Unterschiede aufweisender Wortlaut besagt, dass im Falle gesetzeswidriger Reglementsbestimmungen eine BGE 120 V 319 S. 325 rückwirkende Gesetzesanwendung dann ausser Betracht fällt, wenn eine Vorsorgeeinrichtung hinsichtlich der Gesetzeskonformität guten Glaubens war ("Si toutefois l'institution de prévoyance pouvait admettre de bonne foi qu'une de ces dispositions réglementaires était conforme à la loi, celle-ci n'est pas applicable rétroactivement". - "Tuttavia, se l'istituto di previdenza poteva presumere in buona fede che una sua disposizione regolamentare fosse conforme alla legge, quest'ultima non è applicabile retroattivamente"). Dass dieser Wortlaut keineswegs klar ist und es folglich nach seiner wahren Tragweite zu suchen gilt (Erw. 5a), tritt im hier streitigen Fall unübersehbar zutage. Dabei steht die Frage im Vordergrund, welche Bedeutung dem "Rückwirkungsverbot" gemäss Art. 50 Abs. 3 Satz 2 BVG unter den hier zu beurteilenden Umständen zukommt - wenn also Invaliden(dauer)leistungen im Streite liegen, die gemäss Art. 26 Abs. 1 BVG unbestritten ab Mai 1989 entstanden wären (vgl. BGE 118 V 39 Erw. 2b/aa f.), die Vorsorgeeinrichtung sich ihrer Leistungspflicht jedoch unter Berufung auf eine Reglements- (Art. 52 AVB) bzw. Verordnungsbestimmung ( Art. 25 BVV 2 ) zu entziehen sucht, deren Gesetzeswidrigkeit erst mit höchstrichterlichem Urteil vom 31. August 1990 festgestellt wurde. c) Vorweg kann festgehalten werden, dass der Beschwerdeführerin jedenfalls bis zu der mit Urteil C. des Eidg. Versicherungsgerichts vom 31. August 1990 ( BGE 116 V 189 ) erfolgten Feststellung der Gesetzeswidrigkeit von Art. 25 Abs. 1 BVV 2 Gutgläubigkeit hinsichtlich der Gesetzeskonformität ihres gestützt darauf erlassenen Reglements zuzubilligen ist (vgl. JÄGGI, Berner Kommentar, N. 41 zu Art. 3 ZGB ). Denn bis zu jenem Zeitpunkt trugen die fraglichen Bestimmungen die Vermutung ihrer Rechtmässigkeit in sich (RHINOW, Rechtsetzung und Methodik, Basel 1979, S. 277 nach N. 104), und es hatte die Beschwerdeführerin keinen Anlass für irgendwelche Zweifel in dieser Hinsicht. Unter diesen Umständen und nachdem auch nichts Gegenteiliges behauptet worden ist, kann es mit der Vermutung gemäss Art. 3 Abs. 1 ZGB sein Bewenden haben.</w:t>
      </w:r>
    </w:p>
    <w:p>
      <w:r>
        <w:rPr>
          <w:b/>
        </w:rPr>
        <w:t>E. 6</w:t>
      </w:r>
    </w:p>
    <w:p>
      <w:r>
        <w:t>Das Eidg. Versicherungsgericht hat sich mit der hier angesprochenen Gesetzesbestimmung, die im dritten Teil ("Organisation"), ersten Titel ("Vorsorgeeinrichtung") des BVG enthalten ist (Randtitel: "Reglementarische Bestimmungen") und zu der sich ein vergleichbares Gegenstück im übrigen Sozialversicherungsrecht nicht finden lässt, bis heute nie eingehender BGE 120 V 319 S. 326 befasst. Auch seitens der Lehre ist Art. 50 Abs. 3 BVG , soweit ersichtlich, nur am Rande behandelt worden. a) Immerhin finden sich gewisse Ausführungen dazu einerseits bei RIEMER, der zunächst in Art. 50 Abs. 3 Satz 1 BVG den zwingenden Charakter der berufsvorsorgerechtlichen Bestimmungen bekräftigt sieht. Hinsichtlich des hier interessierenden Folgesatzes der nämlichen Bestimmung ( Art. 50 Abs. 3 Satz 2 BVG ) hält dieser Autor sodann fest, dass der Gesetzgeber darin einen generellen Vorbehalt zugunsten des guten Glaubens der Vorsorgeeinrichtung statuiere, der jedoch nicht schon darum geltend gemacht werden könne, weil die Aufsichtsbehörde nicht eingegriffen habe (RIEMER, Das Recht der beruflichen Vorsorge in der Schweiz, Bern 1985, § 2 N. 40, mit Hinweis auf die Materialien). Anderseits führt BRÜHWILER aus, dass die vom Gesetz für den Fall gesetzeswidriger Reglementsbestimmungen an sich vorgesehene Nichtigkeitsfolge "ex tunc" ( Art. 50 Abs. 3 Satz 2 BVG a. E.) einer Vorsorgeeinrichtung mitunter erhebliche finanzielle Schwierigkeiten bereiten könne; die Nichtigkeit wirke daher lediglich "ex nunc", ab dem Zeitpunkt der formellen Reglementsänderung, wenn die Vorsorgeeinrichtung gutgläubig auf die Gesetzeskonformität ihrer reglementarischen Bestimmungen vertrauen durfte (BRÜHWILER, Die betriebliche Personalvorsorge in der Schweiz, Bern 1989, § 19 N. 9, ebenfalls mit Hinweisen auf die Materialien in Fn. 30; vgl. ferner SCHWEIZER/MANHART, Die berufliche Vorsorge nach BVG und Ausführungsverordnungen, SZS 1984 S. 202 Fn. 80). b) Den Gesetzesmaterialien lässt sich entnehmen, dass die fragliche Norm in der Fassung des bundesrätlichen Entwurfs für rechtswidrige Reglementsbestimmungen noch kurzerhand die Nichtigkeitsfolge vorgesehen hatte, weil ein solches Vorgehen den Versicherten grösseren Schutz ihrer im Gesetz verankerten Rechte garantiere (Botschaft des Bundesrates an die Bundesversammlung zum Bundesgesetz über die berufliche Alters-, Hinterlassenen- und Invalidenvorsorge vom 19. Dezember 1975, in BBl 1976 I 257, 303). Erst auf Betreiben des Ständerates, namentlich seiner vorberatenden Kommission, fand - unter Hinweis auf die mit einer rückwirkenden Gesetzesanwendung verbundenen weitgehenden materiellen Folgen - der Vorbehalt des guten Glaubens zugunsten der Vorsorgeeinrichtungen Aufnahme in das Gesetz, ohne dass in den Räten selbst eine Diskussion hierüber stattgefunden hätte (Amtl.Bull. N. 1977 1352, S 1980 294, N. 1981 1099 unten f.; vgl. ferner Protokolle der ständerätlichen Kommission vom BGE 120 V 319 S. 327</w:t>
      </w:r>
    </w:p>
    <w:p>
      <w:r>
        <w:rPr>
          <w:b/>
        </w:rPr>
        <w:t>E. 10</w:t>
      </w:r>
    </w:p>
    <w:p>
      <w:r>
        <w:t>Zu prüfen bleibt schliesslich, wie es sich mit dem guten Glauben der Beschwerdeführerin verhält. Diesen für die Zeit vor dem Urteil C. vom 31. August 1990 anzuzweifeln, besteht - wie bereits festgehalten (Erw. 5c und 7b hievor) - kein Anlass. Der Klärung bedarf indes die für den Beginn der Leistungspflicht zentrale Frage, ab wann genau der Beschwerdeführerin die Berufung auf ihren guten Glauben zu versagen ist. a) Wer einen Rechtsmangel kennt, gilt diesbezüglich nicht als gutgläubig. Sodann darf sich derjenige nicht auf seinen guten Glauben berufen, dem der Mangel bei Anwendung zumutbarer Aufmerksamkeit erkennbar gewesen wäre (vgl. Art. 3 Abs. 2 ZGB ). Dabei ist diejenige Aufmerksamkeit geboten, die nach den Umständen verlangt werden kann (JÄGGI, a.a.O., N. 115 zu Art. 3 ZGB ); BGE 120 V 319 S. 336 dies lässt sich nur im Einzelfall in Würdigung aller Gegebenheiten beurteilen, wobei von objektiven Kriterien auszugehen ist (vgl. BGE 119 II 25 und 27 mit Hinweisen; vgl. ferner DESCHENAUX, a.a.O., S. 230; BRÜHWILER, a.a.O., § 19 N. 9). Diese zivilrechtlichen Grundsätze gelten gleichermassen für den Bereich des Sozialversicherungsrechts ( BGE 102 V 246 Erw. b mit Hinweisen; vgl. ferner BGE 112 V 103 Erw. 1c, BGE 110 V 180 Erw. 3c; AHI 1994 S. 123 Erw. 2c; vgl. RIEMER, Berührungspunkte zwischen Sozialversicherungs- und Privatrecht, Festschrift 75 Jahre EVG, S. 153). b) Mit Blick auf den guten Glauben mag der hier zu beurteilende Fall insofern besonders gelagert sein, als die Beschwerdeführerin an dem zum Urteil C. vom 31. August 1990 führenden Verfahren, in dem die Gesetzeswidrigkeit von Art. 25 BVV 2 und damit mittelbar auch diejenige von Art. 52 AVB erkannt wurde, nicht selbst beteiligt gewesen war. Dass ihr mit diesem Urteil die Möglichkeit genommen wurde, sich fortan auf ihren guten Glauben hinsichtlich der Gesetzeskonformität von Art. 52 AVB zu berufen, steht fraglos fest; daran vermöchte selbst die unterbliebene Intervention der Aufsichtsbehörde nichts zu ändern (Erw. 6a und b). Zu beachten gilt es freilich, dass das besagte Urteil des Eidg. Versicherungsgerichts der Öffentlichkeit nicht schon im Zeitpunkt seiner Ausfällung, sondern erst mit der Publikation in den einschlägigen Organen zugänglich wurde. Dies geschah mit den Mitteilungen des BSV über die berufliche Vorsorge Nr. 17 vom 15. Oktober 1990 (Rz. 108), worin der wesentliche Gehalt jenes Grundsatzurteils - rund dreieinhalb Monate vor seiner Veröffentlichung (30. Januar 1991) in der amtlichen Urteilssammlung ( BGE 116 V 189 ) - erstmals verbreitet worden sein dürfte (ebenso publ. in SPV 1990 Nr. 12 S. 388 [vgl. ferner die Urteilszusammenfassung in SPV, a.a.O., S. 423] und in ZAK 1990 S. 503 f.). Unter diesen Umständen rechtfertigt es sich, der Beschwerdeführerin die Berufung auf ihren guten Glauben erst ab November 1990 zu versagen. Denn als eine der Aufsicht des BSV unterstehende Vorsorgeeinrichtung müsste sie die entsprechenden Mitteilungen erhalten haben (vgl. Mitteilungen Nr. 1 vom 24. Oktober 1986). Selbst wenn dies programmwidrig nicht geschehen sein sollte, wäre es einer Vorsorgeeinrichtung im Range der Beschwerdeführerin bei Anwendung der gebotenen Sorgfalt möglich gewesen, sich aus eigenem Antrieb Kenntnis dieser Informationen zu verschaffen. Hingegen bestehen keinerlei Anhaltspunkte dafür, dass diese Kenntnisnahme bereits vor Erhalt der amtlichen Mitteilungen erfolgt sein könnte. BGE 120 V 319 S. 337</w:t>
      </w:r>
    </w:p>
    <w:p>
      <w:r>
        <w:rPr>
          <w:b/>
        </w:rPr>
        <w:t>E. 11</w:t>
      </w:r>
    </w:p>
    <w:p>
      <w:r>
        <w:t>Zusammenfassend kann festgehalten werden, dass das kantonale Gericht die Leistungspflicht der Beschwerdeführerin dem Grundsatz nach zu Recht bejaht hat. Zu präzisieren ist, dass diese Pflicht mit dem Wegfall des Gutglaubensschutzes erst ab November 1990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